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27490b53a6d40b4"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46340</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JAVNA USTANOVA DJEČJI VRTIĆ ZVJEZDICE</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21</w:t>
            </w:r>
          </w:p>
        </w:tc>
      </w:tr>
    </w:tbl>
    <w:p>
      <w:r>
        <w:br/>
      </w:r>
    </w:p>
    <w:p>
      <w:pPr>
        <w:jc w:val="center"/>
        <w:pStyle w:val="Normal"/>
        <w:spacing w:line="240" w:lineRule="auto"/>
      </w:pPr>
      <w:r>
        <w:rPr>
          <w:b/>
          <w:sz w:val="28"/>
          <w:rFonts w:ascii="Times New Roman" w:hAnsi="Times New Roman"/>
        </w:rPr>
        <w:t>BILJEŠKE UZ FINANCIJSKE IZVJEŠTAJE</w:t>
      </w:r>
    </w:p>
    <w:p>
      <w:pPr>
        <w:jc w:val="center"/>
        <w:pStyle w:val="Normal"/>
        <w:spacing w:line="240" w:lineRule="auto"/>
      </w:pPr>
      <w:r>
        <w:rPr>
          <w:b/>
          <w:sz w:val="28"/>
          <w:rFonts w:ascii="Times New Roman" w:hAnsi="Times New Roman"/>
        </w:rPr>
        <w:t>ZA RAZDOBLJE</w:t>
      </w:r>
    </w:p>
    <w:p>
      <w:pPr>
        <w:jc w:val="center"/>
        <w:pStyle w:val="Normal"/>
        <w:spacing w:line="240" w:lineRule="auto"/>
      </w:pPr>
      <w:r>
        <w:rPr>
          <w:b/>
          <w:sz w:val="28"/>
          <w:rFonts w:ascii="Times New Roman" w:hAnsi="Times New Roman"/>
        </w:rPr>
        <w:t>I - IX 2025.</w:t>
      </w:r>
    </w:p>
    <w:p/>
    <w:p>
      <w:pPr>
        <w:jc w:val="center"/>
        <w:pStyle w:val="Normal"/>
        <w:spacing w:line="240" w:lineRule="auto"/>
        <w:keepNext/>
      </w:pPr>
      <w:r>
        <w:rPr>
          <w:b/>
          <w:sz w:val="28"/>
          <w:rFonts w:ascii="Times New Roman" w:hAnsi="Times New Roman"/>
        </w:rPr>
        <w:t>Izvještaj o prihodima i rashodima, primicima i izdacima</w:t>
      </w:r>
    </w:p>
    <w:p>
      <w:pPr>
        <w:jc w:val="center"/>
        <w:pStyle w:val="Normal"/>
        <w:spacing w:line="240" w:lineRule="auto"/>
        <w:keepNext/>
      </w:pPr>
      <w:r>
        <w:rPr>
          <w:sz w:val="28"/>
          <w:rFonts w:ascii="Times New Roman" w:hAnsi="Times New Roman"/>
        </w:rPr>
        <w:t>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291.133,57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335.967,45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290.937,28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329.071,53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196,29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6.895,92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3513,1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2.833,87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2.833,87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196,29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4.062,05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2069,4</w:t>
            </w:r>
          </w:p>
        </w:tc>
      </w:tr>
    </w:tbl>
    <w:p>
      <w:pPr>
        <w:spacing w:before="0" w:after="0"/>
      </w:pPr>
    </w:p>
    <w:p>
      <w:pPr>
        <w:jc w:val="both"/>
        <w:pStyle w:val="Normal"/>
        <w:spacing w:line="240" w:lineRule="auto"/>
      </w:pPr>
      <w:r>
        <w:rPr>
          <w:sz w:val="24"/>
          <w:rFonts w:ascii="Times New Roman" w:hAnsi="Times New Roman"/>
        </w:rPr>
        <w:t>U razdoblju siječanj – rujan 2025. godine Dječji vrtić Zvjezdice ostvario je prihode poslovanja u iznosu 335.967,45 eura što je 72,09 % od godišnjeg plana, i 115,40 % u odnosu na isto razdoblje 2024. godine. Do povećanja prihoda u odnosu na prethodnu godinu došlo je zbog većeg iznosa sredstava koje Dječji vrtić prima od nadležnog proračuna za plaće radnika, kao i zbog predviđanja toplog obroka za djecu u nadležnom proračunu. Te dvije stavke su utjecale na veće prihode koje Dječji vrtić dobiva iz nadležnog proračuna, za troškove plaća djelatnika i troškove prehrane djece.</w:t>
      </w:r>
    </w:p>
    <w:p>
      <w:r>
        <w:br/>
      </w:r>
    </w:p>
    <w:p>
      <w:pPr>
        <w:jc w:val="center"/>
        <w:pStyle w:val="Normal"/>
        <w:spacing w:line="240" w:lineRule="auto"/>
        <w:keepNext/>
      </w:pPr>
      <w:r>
        <w:rPr>
          <w:sz w:val="28"/>
          <w:rFonts w:ascii="Times New Roman" w:hAnsi="Times New Roman"/>
        </w:rPr>
        <w:t>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1.066,40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1.441,60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135,2</w:t>
            </w:r>
          </w:p>
        </w:tc>
      </w:tr>
    </w:tbl>
    <w:p>
      <w:pPr>
        <w:spacing w:before="0" w:after="0"/>
      </w:pPr>
    </w:p>
    <w:p>
      <w:pPr>
        <w:jc w:val="both"/>
        <w:pStyle w:val="Normal"/>
        <w:spacing w:line="240" w:lineRule="auto"/>
      </w:pPr>
      <w:r>
        <w:rPr>
          <w:sz w:val="24"/>
          <w:rFonts w:ascii="Times New Roman" w:hAnsi="Times New Roman"/>
        </w:rPr>
        <w:t>Pomoći iz inozemstva i od subjekata unutar općeg proračuna ostvarene su u iznosu 1.441,60 eura, a u izvještajnom razdoblju 2024.godine u iznosu 1.066,40 eura. Iznos u 2025. godini je znatno veći jer ostvarene pomoći nisu bile uplaćene do kraja ovog izvještajnog razdoblja u 2024. godini. Pomoći unutar općeg proračuna odnose se na tekuće pomoći iz državnog i županijskog proračuna za nabavu didaktičke opreme za djecu.
</w:t>
      </w:r>
    </w:p>
    <w:p/>
    <w:p>
      <w:pPr>
        <w:jc w:val="center"/>
        <w:pStyle w:val="Normal"/>
        <w:spacing w:line="240" w:lineRule="auto"/>
        <w:keepNext/>
      </w:pPr>
      <w:r>
        <w:rPr>
          <w:sz w:val="28"/>
          <w:rFonts w:ascii="Times New Roman" w:hAnsi="Times New Roman"/>
        </w:rPr>
        <w:t>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zakupa i iznajmljivanja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Prihodi od zakupa i iznajmljivanja imovine odnose se na najam prostora za podučavanje engleskog jezika. U 2025. godini ostvareni su u iznosu od 221,85 eura, a u 2024. godini nije bilo prihoda od najma prostora.</w:t>
      </w:r>
    </w:p>
    <w:p/>
    <w:p>
      <w:pPr>
        <w:jc w:val="center"/>
        <w:pStyle w:val="Normal"/>
        <w:spacing w:line="240" w:lineRule="auto"/>
        <w:keepNext/>
      </w:pPr>
      <w:r>
        <w:rPr>
          <w:sz w:val="28"/>
          <w:rFonts w:ascii="Times New Roman" w:hAnsi="Times New Roman"/>
        </w:rPr>
        <w:t>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44.876,31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43.795,25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97,6</w:t>
            </w:r>
          </w:p>
        </w:tc>
      </w:tr>
    </w:tbl>
    <w:p>
      <w:pPr>
        <w:spacing w:before="0" w:after="0"/>
      </w:pPr>
    </w:p>
    <w:p>
      <w:pPr>
        <w:jc w:val="both"/>
        <w:pStyle w:val="Normal"/>
        <w:spacing w:line="240" w:lineRule="auto"/>
      </w:pPr>
      <w:r>
        <w:rPr>
          <w:sz w:val="24"/>
          <w:rFonts w:ascii="Times New Roman" w:hAnsi="Times New Roman"/>
        </w:rPr>
        <w:t>Prihodi od administrativnih pristojbi, pristojbi po posebnim propisima i naknadama ostvareni su u iznosu od 43.795,25 eura, što je74,35 % od planiranog, i 97,60 % od istog razdoblja 2024. godine. Ovi prihodi se odnose se na prihode od uplate roditelja za usluge vrtića, i nije došlo do velikog odstupanja u odnosu na 2024. godinu jer se cijena usluge vrtića nije mijenjala, a ostao je podjednak broj upisane djece.</w:t>
      </w:r>
    </w:p>
    <w:p/>
    <w:p>
      <w:pPr>
        <w:jc w:val="center"/>
        <w:pStyle w:val="Normal"/>
        <w:spacing w:line="240" w:lineRule="auto"/>
        <w:keepNext/>
      </w:pPr>
      <w:r>
        <w:rPr>
          <w:sz w:val="28"/>
          <w:rFonts w:ascii="Times New Roman" w:hAnsi="Times New Roman"/>
        </w:rPr>
        <w:t>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245.190,69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290.508,43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118,5</w:t>
            </w:r>
          </w:p>
        </w:tc>
      </w:tr>
    </w:tbl>
    <w:p>
      <w:pPr>
        <w:spacing w:before="0" w:after="0"/>
      </w:pPr>
    </w:p>
    <w:p>
      <w:pPr>
        <w:jc w:val="both"/>
        <w:pStyle w:val="Normal"/>
        <w:spacing w:line="240" w:lineRule="auto"/>
      </w:pPr>
      <w:r>
        <w:rPr>
          <w:sz w:val="24"/>
          <w:rFonts w:ascii="Times New Roman" w:hAnsi="Times New Roman"/>
        </w:rPr>
        <w:t>Prihodi iz nadležnog proračuna ostvareni su u iznosu od 290.50.8,43 eura, što je 72,22 % od planiranog  godišnjeg iznosa. Ostvareno je 18,50 % više u odnosu na prethodnu godinu, a razlog povećanja je rast plaća, i naknada, te veći iznos planiranog novca za tople obroke djece koji se dijelom financira iz nadležnog proračuna. Prihodima iz nadležnog proračuna Općine Zemunik Donji pokrivaju se uglavnom troškovi plaće radnika, troškovi struje, bankarskih usluga i komunalnih usluga, te od 2025. godine i dio mjesečnog računa za topli obrok za djecu.</w:t>
      </w:r>
    </w:p>
    <w:p/>
    <w:p>
      <w:pPr>
        <w:jc w:val="center"/>
        <w:pStyle w:val="Normal"/>
        <w:spacing w:line="240" w:lineRule="auto"/>
        <w:keepNext/>
      </w:pPr>
      <w:r>
        <w:rPr>
          <w:sz w:val="28"/>
          <w:rFonts w:ascii="Times New Roman" w:hAnsi="Times New Roman"/>
        </w:rPr>
        <w:t>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(bruto) (šifre 3111 do 3114)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190.033,25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218.703,75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115,1</w:t>
            </w:r>
          </w:p>
        </w:tc>
      </w:tr>
    </w:tbl>
    <w:p>
      <w:pPr>
        <w:spacing w:before="0" w:after="0"/>
      </w:pPr>
    </w:p>
    <w:p>
      <w:pPr>
        <w:jc w:val="both"/>
        <w:pStyle w:val="Normal"/>
        <w:spacing w:line="240" w:lineRule="auto"/>
      </w:pPr>
      <w:r>
        <w:rPr>
          <w:sz w:val="24"/>
          <w:rFonts w:ascii="Times New Roman" w:hAnsi="Times New Roman"/>
        </w:rPr>
        <w:t>Rashodi za plaće za redovan rad, u izvještajnom razdoblju ostvareni su u iznosu od 218.703,75 eura, što je neznatno povećanje od 15 % u odnosu na isto razdoblje 2024. godine. Razlog povećanja je rast osnovice državnih plaća od 01.siječnja.2025. godine.</w:t>
      </w:r>
    </w:p>
    <w:p/>
    <w:p>
      <w:pPr>
        <w:jc w:val="center"/>
        <w:pStyle w:val="Normal"/>
        <w:spacing w:line="240" w:lineRule="auto"/>
        <w:keepNext/>
      </w:pPr>
      <w:r>
        <w:rPr>
          <w:sz w:val="28"/>
          <w:rFonts w:ascii="Times New Roman" w:hAnsi="Times New Roman"/>
        </w:rPr>
        <w:t>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7.798,17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87,2</w:t>
            </w:r>
          </w:p>
        </w:tc>
      </w:tr>
    </w:tbl>
    <w:p>
      <w:pPr>
        <w:spacing w:before="0" w:after="0"/>
      </w:pPr>
    </w:p>
    <w:p>
      <w:pPr>
        <w:jc w:val="both"/>
        <w:pStyle w:val="Normal"/>
        <w:spacing w:line="240" w:lineRule="auto"/>
      </w:pPr>
      <w:r>
        <w:rPr>
          <w:sz w:val="24"/>
          <w:rFonts w:ascii="Times New Roman" w:hAnsi="Times New Roman"/>
        </w:rPr>
        <w:t>Ostali rashodi za zaposlene ostvareni su u iznosu od 6.800,00 eura, a za isto razdoblje 2024. godine u iznosu od 7.798,17 eura. Razlog smanjenja rashoda u postotku od 13 % u izvještajnom razdoblju ove godine je veći iznos regresa po osobi u 2024. godini, dok je u 2025. godini taj iznos smanjen i preraspoređen za prosinac.</w:t>
      </w:r>
    </w:p>
    <w:p/>
    <w:p>
      <w:pPr>
        <w:jc w:val="center"/>
        <w:pStyle w:val="Normal"/>
        <w:spacing w:line="240" w:lineRule="auto"/>
        <w:keepNext/>
      </w:pPr>
      <w:r>
        <w:rPr>
          <w:sz w:val="28"/>
          <w:rFonts w:ascii="Times New Roman" w:hAnsi="Times New Roman"/>
        </w:rPr>
        <w:t>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za obvezno zdravstveno osiguranje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31.355,48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36.086,07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115,1</w:t>
            </w:r>
          </w:p>
        </w:tc>
      </w:tr>
    </w:tbl>
    <w:p>
      <w:pPr>
        <w:spacing w:before="0" w:after="0"/>
      </w:pPr>
    </w:p>
    <w:p>
      <w:pPr>
        <w:jc w:val="both"/>
        <w:pStyle w:val="Normal"/>
        <w:spacing w:line="240" w:lineRule="auto"/>
      </w:pPr>
      <w:r>
        <w:rPr>
          <w:sz w:val="24"/>
          <w:rFonts w:ascii="Times New Roman" w:hAnsi="Times New Roman"/>
        </w:rPr>
        <w:t>Rashodi za doprinose za obvezno zdravstveno osiguranje, u izvještajnom razdoblju ostvareni su u iznosu od 36.086,07 eura, što je također kao i kod plaća za redovan rad, povećanje od 15 % u odnosu na isto razdoblje 2024. godine. Razlog povećanja je rast osnovice državnih plaća od 01.sijčnja.2025. godine.</w:t>
      </w:r>
    </w:p>
    <w:p/>
    <w:p>
      <w:pPr>
        <w:jc w:val="center"/>
        <w:pStyle w:val="Normal"/>
        <w:spacing w:line="240" w:lineRule="auto"/>
        <w:keepNext/>
      </w:pPr>
      <w:r>
        <w:rPr>
          <w:sz w:val="28"/>
          <w:rFonts w:ascii="Times New Roman" w:hAnsi="Times New Roman"/>
        </w:rPr>
        <w:t>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1.052,40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132,7</w:t>
            </w:r>
          </w:p>
        </w:tc>
      </w:tr>
    </w:tbl>
    <w:p>
      <w:pPr>
        <w:spacing w:before="0" w:after="0"/>
      </w:pPr>
    </w:p>
    <w:p>
      <w:pPr>
        <w:jc w:val="both"/>
        <w:pStyle w:val="Normal"/>
        <w:spacing w:line="240" w:lineRule="auto"/>
      </w:pPr>
      <w:r>
        <w:rPr>
          <w:sz w:val="24"/>
          <w:rFonts w:ascii="Times New Roman" w:hAnsi="Times New Roman"/>
        </w:rPr>
        <w:t>Rashodi za službena putovanja ostvareni su u iznosu od 1.052,40 eura, što je 132,70 % u iznosu na prethodnu godinu. Razlog povećanja troškova je veći broj održavanih seminara nego prethodne godine, kao i veći broj zaposlenih osoba koje su pohađale seminare.</w:t>
      </w:r>
    </w:p>
    <w:p/>
    <w:p>
      <w:pPr>
        <w:jc w:val="center"/>
        <w:pStyle w:val="Normal"/>
        <w:spacing w:line="240" w:lineRule="auto"/>
        <w:keepNext/>
      </w:pPr>
      <w:r>
        <w:rPr>
          <w:sz w:val="28"/>
          <w:rFonts w:ascii="Times New Roman" w:hAnsi="Times New Roman"/>
        </w:rPr>
        <w:t>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6.602,55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7.852,89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118,9</w:t>
            </w:r>
          </w:p>
        </w:tc>
      </w:tr>
    </w:tbl>
    <w:p>
      <w:pPr>
        <w:spacing w:before="0" w:after="0"/>
      </w:pPr>
    </w:p>
    <w:p>
      <w:pPr>
        <w:jc w:val="both"/>
        <w:pStyle w:val="Normal"/>
        <w:spacing w:line="240" w:lineRule="auto"/>
      </w:pPr>
      <w:r>
        <w:rPr>
          <w:sz w:val="24"/>
          <w:rFonts w:ascii="Times New Roman" w:hAnsi="Times New Roman"/>
        </w:rPr>
        <w:t>
Rashodi za uredski materijal i ostale materijalne rashode ostvareni su za 18,90 % više nego u istom razdoblju 2024. godine, u iznosu od 7.852,89 eura. Do povećanja troškova došlo je zbog većeg broja računa za nabavu didaktičke opreme.
</w:t>
      </w:r>
    </w:p>
    <w:p/>
    <w:p>
      <w:pPr>
        <w:jc w:val="center"/>
        <w:pStyle w:val="Normal"/>
        <w:spacing w:line="240" w:lineRule="auto"/>
        <w:keepNext/>
      </w:pPr>
      <w:r>
        <w:rPr>
          <w:sz w:val="28"/>
          <w:rFonts w:ascii="Times New Roman" w:hAnsi="Times New Roman"/>
        </w:rPr>
        <w:t>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347,70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694,14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199,6</w:t>
            </w:r>
          </w:p>
        </w:tc>
      </w:tr>
    </w:tbl>
    <w:p>
      <w:pPr>
        <w:spacing w:before="0" w:after="0"/>
      </w:pPr>
    </w:p>
    <w:p>
      <w:pPr>
        <w:jc w:val="both"/>
        <w:pStyle w:val="Normal"/>
        <w:spacing w:line="240" w:lineRule="auto"/>
      </w:pPr>
      <w:r>
        <w:rPr>
          <w:sz w:val="24"/>
          <w:rFonts w:ascii="Times New Roman" w:hAnsi="Times New Roman"/>
        </w:rPr>
        <w:t>Troškovi za službenu, radnu i zaštitnu odjeću ostvareni su u iznosu od 694,14 eura što je 99,60 % više u odnosu na isto razdoblje prethodne godine. Do povećanja je došlo zbog kupnje radne obuće za djelatnice koja se kupuje svake druge godine.</w:t>
      </w:r>
    </w:p>
    <w:p/>
    <w:p>
      <w:pPr>
        <w:jc w:val="center"/>
        <w:pStyle w:val="Normal"/>
        <w:spacing w:line="240" w:lineRule="auto"/>
        <w:keepNext/>
      </w:pPr>
      <w:r>
        <w:rPr>
          <w:sz w:val="28"/>
          <w:rFonts w:ascii="Times New Roman" w:hAnsi="Times New Roman"/>
        </w:rPr>
        <w:t>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517,36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5.084,26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982,7</w:t>
            </w:r>
          </w:p>
        </w:tc>
      </w:tr>
    </w:tbl>
    <w:p>
      <w:pPr>
        <w:spacing w:before="0" w:after="0"/>
      </w:pPr>
    </w:p>
    <w:p>
      <w:pPr>
        <w:jc w:val="both"/>
        <w:pStyle w:val="Normal"/>
        <w:spacing w:line="240" w:lineRule="auto"/>
      </w:pPr>
      <w:r>
        <w:rPr>
          <w:sz w:val="24"/>
          <w:rFonts w:ascii="Times New Roman" w:hAnsi="Times New Roman"/>
        </w:rPr>
        <w:t>Troškovi zdravstvenih i veterinarskih usluga ostvareni su u iznosu od 5.084,26 eura, što je velika razlika u odnosu na prethodnu godinu. Razlog povećanja troškova je račun za obvezne preglede od Pupillam d.o.o. u iznosu od 4.550,00 eura koji smo u 2024.godini dobili u dva dijela, dio u prvoj polovici godine, a dio nakon izvještajnog razdoblja.</w:t>
      </w:r>
    </w:p>
    <w:p/>
    <w:p>
      <w:pPr>
        <w:jc w:val="center"/>
        <w:pStyle w:val="Normal"/>
        <w:spacing w:line="240" w:lineRule="auto"/>
        <w:keepNext/>
      </w:pPr>
      <w:r>
        <w:rPr>
          <w:sz w:val="28"/>
          <w:rFonts w:ascii="Times New Roman" w:hAnsi="Times New Roman"/>
        </w:rPr>
        <w:t>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5.267,55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2.170,74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41,2</w:t>
            </w:r>
          </w:p>
        </w:tc>
      </w:tr>
    </w:tbl>
    <w:p>
      <w:pPr>
        <w:spacing w:before="0" w:after="0"/>
      </w:pPr>
    </w:p>
    <w:p>
      <w:pPr>
        <w:jc w:val="both"/>
        <w:pStyle w:val="Normal"/>
        <w:spacing w:line="240" w:lineRule="auto"/>
      </w:pPr>
      <w:r>
        <w:rPr>
          <w:sz w:val="24"/>
          <w:rFonts w:ascii="Times New Roman" w:hAnsi="Times New Roman"/>
        </w:rPr>
        <w:t>Rashodi ostalih usluga za izvještajno razdoblje ostvareni su u iznosu od 2.170,74  eura što je 41,20 % u odnosu na isto razdoblje 2024. godine. Do smanjenja i razlike u odnosu na  2024.godinu je došlo zbog nekoliko većih računa za troškove popravka umjetne trave, antistresne podloge, te računa za lakiranje parketa koji su nastali u 2024. godini.  </w:t>
      </w:r>
    </w:p>
    <w:p/>
  </w:body>
</w:document>
</file>

<file path=word/styles.xml><?xml version="1.0" encoding="utf-8"?>
<w:styles xmlns:w="http://schemas.openxmlformats.org/wordprocessingml/2006/main">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e02aaa69a0144ae2" /></Relationships>
</file>